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07" w:rsidRDefault="00B44F07" w:rsidP="00B44F07">
      <w:pPr>
        <w:pStyle w:val="20"/>
        <w:spacing w:after="0" w:line="360" w:lineRule="auto"/>
        <w:ind w:left="2860" w:hangingChars="550" w:hanging="2420"/>
        <w:rPr>
          <w:sz w:val="30"/>
          <w:szCs w:val="30"/>
        </w:rPr>
      </w:pPr>
      <w:r>
        <w:rPr>
          <w:rFonts w:ascii="宋体" w:eastAsia="宋体" w:hAnsi="宋体" w:cs="方正小标宋简体" w:hint="eastAsia"/>
          <w:sz w:val="44"/>
          <w:szCs w:val="44"/>
        </w:rPr>
        <w:t>凯里市第一人民医院DIP付费改革咨询服务项目方案</w:t>
      </w:r>
    </w:p>
    <w:p w:rsidR="00B44F07" w:rsidRDefault="00B44F07" w:rsidP="00B44F07">
      <w:pPr>
        <w:pStyle w:val="20"/>
        <w:spacing w:after="0" w:line="360" w:lineRule="auto"/>
        <w:ind w:left="440" w:firstLineChars="0" w:firstLine="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（一）项目建设内容</w:t>
      </w:r>
    </w:p>
    <w:p w:rsidR="00B44F07" w:rsidRDefault="00B44F07" w:rsidP="00B44F07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通过委托第三方机构协助我院开展DIP付费改革服务项目全面落地。项目内容以咨询服务的方式提供，具体包括：</w:t>
      </w:r>
    </w:p>
    <w:p w:rsidR="00B44F07" w:rsidRDefault="00B44F07" w:rsidP="00B44F07">
      <w:pPr>
        <w:tabs>
          <w:tab w:val="left" w:pos="1272"/>
        </w:tabs>
        <w:spacing w:line="360" w:lineRule="auto"/>
        <w:ind w:firstLineChars="132" w:firstLine="424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（二）项目建设预算</w:t>
      </w:r>
    </w:p>
    <w:p w:rsidR="00B44F07" w:rsidRDefault="00B44F07" w:rsidP="00B44F07">
      <w:pPr>
        <w:tabs>
          <w:tab w:val="left" w:pos="1272"/>
        </w:tabs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一、项目服务费：46万</w:t>
      </w:r>
    </w:p>
    <w:p w:rsidR="00B44F07" w:rsidRDefault="00B44F07" w:rsidP="00B44F07">
      <w:pPr>
        <w:pStyle w:val="20"/>
        <w:ind w:left="44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时间分布：截止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年清算结束为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万。</w:t>
      </w:r>
    </w:p>
    <w:p w:rsidR="00B44F07" w:rsidRDefault="00B44F07" w:rsidP="00B44F07">
      <w:pPr>
        <w:pStyle w:val="20"/>
        <w:ind w:left="440" w:firstLineChars="700" w:firstLine="22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截止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年清算结束为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万。</w:t>
      </w:r>
      <w:bookmarkStart w:id="0" w:name="_GoBack"/>
      <w:bookmarkEnd w:id="0"/>
    </w:p>
    <w:p w:rsidR="00B44F07" w:rsidRDefault="00B44F07" w:rsidP="00B44F07">
      <w:pPr>
        <w:tabs>
          <w:tab w:val="left" w:pos="1272"/>
        </w:tabs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>二、服务内容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6136"/>
      </w:tblGrid>
      <w:tr w:rsidR="00B44F07" w:rsidTr="00121B99">
        <w:trPr>
          <w:trHeight w:val="312"/>
          <w:tblHeader/>
        </w:trPr>
        <w:tc>
          <w:tcPr>
            <w:tcW w:w="1398" w:type="pct"/>
            <w:shd w:val="clear" w:color="auto" w:fill="FFFFFF"/>
            <w:vAlign w:val="center"/>
          </w:tcPr>
          <w:p w:rsidR="00B44F07" w:rsidRDefault="00B44F07" w:rsidP="00121B99">
            <w:pPr>
              <w:jc w:val="center"/>
              <w:textAlignment w:val="center"/>
              <w:rPr>
                <w:rFonts w:ascii="微软雅黑" w:hAnsi="微软雅黑" w:cs="微软雅黑"/>
                <w:b/>
                <w:bCs/>
                <w:snapToGrid w:val="0"/>
                <w:sz w:val="24"/>
              </w:rPr>
            </w:pPr>
            <w:r>
              <w:rPr>
                <w:rFonts w:ascii="微软雅黑" w:hAnsi="微软雅黑" w:cs="微软雅黑" w:hint="eastAsia"/>
                <w:b/>
                <w:bCs/>
                <w:snapToGrid w:val="0"/>
                <w:sz w:val="24"/>
              </w:rPr>
              <w:t>服务项目</w:t>
            </w:r>
          </w:p>
        </w:tc>
        <w:tc>
          <w:tcPr>
            <w:tcW w:w="3602" w:type="pct"/>
            <w:shd w:val="clear" w:color="auto" w:fill="FFFFFF"/>
            <w:vAlign w:val="center"/>
          </w:tcPr>
          <w:p w:rsidR="00B44F07" w:rsidRDefault="00B44F07" w:rsidP="00121B99">
            <w:pPr>
              <w:jc w:val="center"/>
              <w:textAlignment w:val="center"/>
              <w:rPr>
                <w:rFonts w:ascii="微软雅黑" w:hAnsi="微软雅黑" w:cs="微软雅黑"/>
                <w:b/>
                <w:bCs/>
                <w:snapToGrid w:val="0"/>
                <w:sz w:val="24"/>
              </w:rPr>
            </w:pPr>
            <w:r>
              <w:rPr>
                <w:rFonts w:ascii="微软雅黑" w:hAnsi="微软雅黑" w:cs="微软雅黑" w:hint="eastAsia"/>
                <w:b/>
                <w:bCs/>
                <w:snapToGrid w:val="0"/>
                <w:sz w:val="24"/>
              </w:rPr>
              <w:t>服务内容</w:t>
            </w:r>
          </w:p>
        </w:tc>
      </w:tr>
      <w:tr w:rsidR="00B44F07" w:rsidTr="00121B99">
        <w:trPr>
          <w:trHeight w:val="1803"/>
        </w:trPr>
        <w:tc>
          <w:tcPr>
            <w:tcW w:w="1398" w:type="pct"/>
            <w:shd w:val="clear" w:color="auto" w:fill="auto"/>
            <w:vAlign w:val="center"/>
          </w:tcPr>
          <w:p w:rsidR="00B44F07" w:rsidRDefault="00B44F07" w:rsidP="00121B99">
            <w:p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政策咨询服务</w:t>
            </w:r>
          </w:p>
        </w:tc>
        <w:tc>
          <w:tcPr>
            <w:tcW w:w="3602" w:type="pct"/>
            <w:shd w:val="clear" w:color="auto" w:fill="auto"/>
            <w:vAlign w:val="center"/>
          </w:tcPr>
          <w:p w:rsidR="00B44F07" w:rsidRDefault="00B44F07" w:rsidP="00121B99">
            <w:pPr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针对凯里市第一人民医院DIP付费政策及更新的政策开展咨询付费，开展政策解读一年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次。</w:t>
            </w:r>
          </w:p>
        </w:tc>
      </w:tr>
      <w:tr w:rsidR="00B44F07" w:rsidTr="00121B99">
        <w:trPr>
          <w:trHeight w:val="1048"/>
        </w:trPr>
        <w:tc>
          <w:tcPr>
            <w:tcW w:w="1398" w:type="pct"/>
            <w:shd w:val="clear" w:color="auto" w:fill="auto"/>
            <w:vAlign w:val="center"/>
          </w:tcPr>
          <w:p w:rsidR="00B44F07" w:rsidRDefault="00B44F07" w:rsidP="00121B99">
            <w:p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病历抽查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shd w:val="clear" w:color="auto" w:fill="FFFFFF"/>
              </w:rPr>
              <w:t>服务</w:t>
            </w:r>
          </w:p>
        </w:tc>
        <w:tc>
          <w:tcPr>
            <w:tcW w:w="3602" w:type="pct"/>
            <w:shd w:val="clear" w:color="auto" w:fill="auto"/>
            <w:vAlign w:val="center"/>
          </w:tcPr>
          <w:p w:rsidR="00B44F07" w:rsidRDefault="00B44F07" w:rsidP="00121B99">
            <w:pPr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根据本地区筛查的病历，一年4次，每季度开展病历指导和服务。</w:t>
            </w:r>
          </w:p>
        </w:tc>
      </w:tr>
      <w:tr w:rsidR="00B44F07" w:rsidTr="00121B99">
        <w:trPr>
          <w:trHeight w:val="1488"/>
        </w:trPr>
        <w:tc>
          <w:tcPr>
            <w:tcW w:w="1398" w:type="pct"/>
            <w:shd w:val="clear" w:color="auto" w:fill="auto"/>
            <w:vAlign w:val="center"/>
          </w:tcPr>
          <w:p w:rsidR="00B44F07" w:rsidRDefault="00B44F07" w:rsidP="00121B99">
            <w:pPr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数据培训服务</w:t>
            </w:r>
          </w:p>
        </w:tc>
        <w:tc>
          <w:tcPr>
            <w:tcW w:w="3602" w:type="pct"/>
            <w:shd w:val="clear" w:color="auto" w:fill="auto"/>
            <w:vAlign w:val="center"/>
          </w:tcPr>
          <w:p w:rsidR="00B44F07" w:rsidRDefault="00B44F07" w:rsidP="00121B99">
            <w:pPr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按每年1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  <w:shd w:val="clear" w:color="auto" w:fill="FFFFFF"/>
              </w:rPr>
              <w:t>个月开展数据咨询服务，针对全院付费数据开展解读，包含病种数据分析，辅助医院提升数据管理能力。</w:t>
            </w:r>
          </w:p>
        </w:tc>
      </w:tr>
    </w:tbl>
    <w:p w:rsidR="00B44F07" w:rsidRDefault="00B44F07" w:rsidP="00B44F07">
      <w:pPr>
        <w:tabs>
          <w:tab w:val="left" w:pos="1272"/>
        </w:tabs>
        <w:spacing w:line="360" w:lineRule="auto"/>
        <w:ind w:firstLineChars="132" w:firstLine="424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（三）项目建设周期</w:t>
      </w:r>
    </w:p>
    <w:p w:rsidR="00B44F07" w:rsidRDefault="00B44F07" w:rsidP="00B44F07">
      <w:pPr>
        <w:ind w:firstLineChars="200" w:firstLine="640"/>
        <w:textAlignment w:val="center"/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lastRenderedPageBreak/>
        <w:t>自合同签订日起，截止2025年清算结束。</w:t>
      </w:r>
    </w:p>
    <w:p w:rsidR="00B44F07" w:rsidRDefault="00B44F07" w:rsidP="00B44F07">
      <w:pPr>
        <w:pStyle w:val="20"/>
        <w:ind w:left="440"/>
      </w:pPr>
    </w:p>
    <w:p w:rsidR="00B44F07" w:rsidRDefault="00B44F07" w:rsidP="00B44F07">
      <w:pPr>
        <w:pStyle w:val="2"/>
        <w:numPr>
          <w:ilvl w:val="1"/>
          <w:numId w:val="0"/>
        </w:numPr>
        <w:spacing w:before="140" w:after="140"/>
        <w:ind w:firstLineChars="100" w:firstLine="321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（四）服务项目成效说明</w:t>
      </w: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1252"/>
        <w:gridCol w:w="1402"/>
        <w:gridCol w:w="2843"/>
        <w:gridCol w:w="2883"/>
      </w:tblGrid>
      <w:tr w:rsidR="00B44F07" w:rsidTr="00121B99">
        <w:trPr>
          <w:trHeight w:val="466"/>
          <w:jc w:val="center"/>
        </w:trPr>
        <w:tc>
          <w:tcPr>
            <w:tcW w:w="2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color w:val="00000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 w:val="24"/>
              </w:rPr>
              <w:t>绩效目标</w:t>
            </w:r>
          </w:p>
        </w:tc>
        <w:tc>
          <w:tcPr>
            <w:tcW w:w="7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一级目标</w:t>
            </w: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二级目标</w:t>
            </w: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三级目标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B44F07">
            <w:pPr>
              <w:ind w:firstLineChars="300" w:firstLine="663"/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目标值</w:t>
            </w:r>
          </w:p>
        </w:tc>
      </w:tr>
      <w:tr w:rsidR="00B44F07" w:rsidTr="00121B99">
        <w:trPr>
          <w:trHeight w:val="454"/>
          <w:jc w:val="center"/>
        </w:trPr>
        <w:tc>
          <w:tcPr>
            <w:tcW w:w="2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产出</w:t>
            </w:r>
          </w:p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目标</w:t>
            </w:r>
          </w:p>
        </w:tc>
        <w:tc>
          <w:tcPr>
            <w:tcW w:w="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数量目标</w:t>
            </w: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DIP付费政策培训全院2次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DIP付费原理与政策培训</w:t>
            </w:r>
          </w:p>
        </w:tc>
      </w:tr>
      <w:tr w:rsidR="00B44F07" w:rsidTr="00121B99">
        <w:trPr>
          <w:trHeight w:val="454"/>
          <w:jc w:val="center"/>
        </w:trPr>
        <w:tc>
          <w:tcPr>
            <w:tcW w:w="2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DIP数据服务14次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每年不少于1</w:t>
            </w:r>
            <w:r>
              <w:rPr>
                <w:rFonts w:ascii="新宋体" w:eastAsia="新宋体" w:hAnsi="新宋体" w:cs="新宋体"/>
                <w:color w:val="000000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份数据简报</w:t>
            </w:r>
          </w:p>
        </w:tc>
      </w:tr>
      <w:tr w:rsidR="00B44F07" w:rsidTr="00121B99">
        <w:trPr>
          <w:trHeight w:val="454"/>
          <w:jc w:val="center"/>
        </w:trPr>
        <w:tc>
          <w:tcPr>
            <w:tcW w:w="2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专家病历抽查及培训6次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每年组织4次业务培训</w:t>
            </w:r>
          </w:p>
        </w:tc>
      </w:tr>
      <w:tr w:rsidR="00B44F07" w:rsidTr="00121B99">
        <w:trPr>
          <w:trHeight w:val="454"/>
          <w:jc w:val="center"/>
        </w:trPr>
        <w:tc>
          <w:tcPr>
            <w:tcW w:w="2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质量目标</w:t>
            </w: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完成病案书写规范和填报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全院培训1</w:t>
            </w:r>
            <w:r>
              <w:rPr>
                <w:rFonts w:ascii="新宋体" w:eastAsia="新宋体" w:hAnsi="新宋体" w:cs="新宋体"/>
                <w:color w:val="000000"/>
                <w:szCs w:val="21"/>
              </w:rPr>
              <w:t>00%</w:t>
            </w:r>
          </w:p>
        </w:tc>
      </w:tr>
      <w:tr w:rsidR="00B44F07" w:rsidTr="00121B99">
        <w:trPr>
          <w:trHeight w:val="430"/>
          <w:jc w:val="center"/>
        </w:trPr>
        <w:tc>
          <w:tcPr>
            <w:tcW w:w="2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完成业务培训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全院培训1</w:t>
            </w:r>
            <w:r>
              <w:rPr>
                <w:rFonts w:ascii="新宋体" w:eastAsia="新宋体" w:hAnsi="新宋体" w:cs="新宋体"/>
                <w:color w:val="000000"/>
                <w:szCs w:val="21"/>
              </w:rPr>
              <w:t>00%</w:t>
            </w:r>
          </w:p>
        </w:tc>
      </w:tr>
      <w:tr w:rsidR="00B44F07" w:rsidTr="00121B99">
        <w:trPr>
          <w:trHeight w:val="423"/>
          <w:jc w:val="center"/>
        </w:trPr>
        <w:tc>
          <w:tcPr>
            <w:tcW w:w="2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时效目标</w:t>
            </w: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项目工期内完成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项目工期内完成</w:t>
            </w:r>
          </w:p>
        </w:tc>
      </w:tr>
      <w:tr w:rsidR="00B44F07" w:rsidTr="00121B99">
        <w:trPr>
          <w:trHeight w:val="273"/>
          <w:jc w:val="center"/>
        </w:trPr>
        <w:tc>
          <w:tcPr>
            <w:tcW w:w="2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成本目标</w:t>
            </w: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B44F07">
            <w:pPr>
              <w:ind w:rightChars="-48" w:right="-106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建设DIP咨询服务项目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严格按照采购要求进行采购</w:t>
            </w:r>
          </w:p>
        </w:tc>
      </w:tr>
      <w:tr w:rsidR="00B44F07" w:rsidTr="00121B99">
        <w:trPr>
          <w:trHeight w:val="454"/>
          <w:jc w:val="center"/>
        </w:trPr>
        <w:tc>
          <w:tcPr>
            <w:tcW w:w="2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效果目标</w:t>
            </w:r>
          </w:p>
        </w:tc>
        <w:tc>
          <w:tcPr>
            <w:tcW w:w="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经济效益</w:t>
            </w: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提升我院DIP付费管理能力和水平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节省整体投资，发挥整体效益</w:t>
            </w:r>
          </w:p>
        </w:tc>
      </w:tr>
      <w:tr w:rsidR="00B44F07" w:rsidTr="00121B99">
        <w:trPr>
          <w:trHeight w:val="315"/>
          <w:jc w:val="center"/>
        </w:trPr>
        <w:tc>
          <w:tcPr>
            <w:tcW w:w="2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提升DIP付费管理理念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提升至9</w:t>
            </w:r>
            <w:r>
              <w:rPr>
                <w:rFonts w:ascii="新宋体" w:eastAsia="新宋体" w:hAnsi="新宋体" w:cs="新宋体"/>
                <w:color w:val="000000"/>
                <w:szCs w:val="21"/>
              </w:rPr>
              <w:t>0</w:t>
            </w: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%</w:t>
            </w:r>
          </w:p>
        </w:tc>
      </w:tr>
      <w:tr w:rsidR="00B44F07" w:rsidTr="00121B99">
        <w:trPr>
          <w:trHeight w:val="454"/>
          <w:jc w:val="center"/>
        </w:trPr>
        <w:tc>
          <w:tcPr>
            <w:tcW w:w="2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社会效益</w:t>
            </w: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提升DIP付费数据管理的合理性科学性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完善医院DIP付费架构</w:t>
            </w:r>
          </w:p>
        </w:tc>
      </w:tr>
      <w:tr w:rsidR="00B44F07" w:rsidTr="00121B99">
        <w:trPr>
          <w:trHeight w:val="560"/>
          <w:jc w:val="center"/>
        </w:trPr>
        <w:tc>
          <w:tcPr>
            <w:tcW w:w="2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等线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提高医院数据统计过程的工作效率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等线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提高50%</w:t>
            </w:r>
          </w:p>
        </w:tc>
      </w:tr>
      <w:tr w:rsidR="00B44F07" w:rsidTr="00121B99">
        <w:trPr>
          <w:trHeight w:val="454"/>
          <w:jc w:val="center"/>
        </w:trPr>
        <w:tc>
          <w:tcPr>
            <w:tcW w:w="260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szCs w:val="21"/>
              </w:rPr>
              <w:t>可持续效益</w:t>
            </w:r>
          </w:p>
        </w:tc>
        <w:tc>
          <w:tcPr>
            <w:tcW w:w="16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促进部门间信息的互联互通</w:t>
            </w:r>
          </w:p>
        </w:tc>
        <w:tc>
          <w:tcPr>
            <w:tcW w:w="16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44F07" w:rsidRDefault="00B44F07" w:rsidP="00121B99">
            <w:pPr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提升公共服务能力水平</w:t>
            </w:r>
          </w:p>
        </w:tc>
      </w:tr>
    </w:tbl>
    <w:p w:rsidR="00B44F07" w:rsidRDefault="00B44F07" w:rsidP="00B44F07">
      <w:pPr>
        <w:pStyle w:val="20"/>
        <w:spacing w:after="0" w:line="360" w:lineRule="auto"/>
        <w:ind w:left="44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A97C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417" w:rsidRDefault="00112417" w:rsidP="00B44F07">
      <w:pPr>
        <w:spacing w:after="0"/>
      </w:pPr>
      <w:r>
        <w:separator/>
      </w:r>
    </w:p>
  </w:endnote>
  <w:endnote w:type="continuationSeparator" w:id="0">
    <w:p w:rsidR="00112417" w:rsidRDefault="00112417" w:rsidP="00B44F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C3A" w:rsidRDefault="0011241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A97C3A" w:rsidRDefault="00112417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B44F0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417" w:rsidRDefault="00112417" w:rsidP="00B44F07">
      <w:pPr>
        <w:spacing w:after="0"/>
      </w:pPr>
      <w:r>
        <w:separator/>
      </w:r>
    </w:p>
  </w:footnote>
  <w:footnote w:type="continuationSeparator" w:id="0">
    <w:p w:rsidR="00112417" w:rsidRDefault="00112417" w:rsidP="00B44F0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5040"/>
    <w:multiLevelType w:val="multilevel"/>
    <w:tmpl w:val="22625040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307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2417"/>
    <w:rsid w:val="00323B43"/>
    <w:rsid w:val="003D37D8"/>
    <w:rsid w:val="00426133"/>
    <w:rsid w:val="004358AB"/>
    <w:rsid w:val="008B7726"/>
    <w:rsid w:val="009D4E0F"/>
    <w:rsid w:val="00B44F0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B44F07"/>
    <w:pPr>
      <w:keepNext/>
      <w:keepLines/>
      <w:widowControl w:val="0"/>
      <w:numPr>
        <w:numId w:val="1"/>
      </w:numPr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4F07"/>
    <w:pPr>
      <w:keepNext/>
      <w:keepLines/>
      <w:widowControl w:val="0"/>
      <w:numPr>
        <w:ilvl w:val="1"/>
        <w:numId w:val="1"/>
      </w:numPr>
      <w:adjustRightInd/>
      <w:snapToGrid/>
      <w:spacing w:before="260" w:after="260" w:line="413" w:lineRule="auto"/>
      <w:jc w:val="both"/>
      <w:outlineLvl w:val="1"/>
    </w:pPr>
    <w:rPr>
      <w:rFonts w:ascii="Arial" w:eastAsia="黑体" w:hAnsi="Arial"/>
      <w:b/>
      <w:kern w:val="2"/>
      <w:sz w:val="32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B44F07"/>
    <w:pPr>
      <w:keepNext/>
      <w:keepLines/>
      <w:widowControl w:val="0"/>
      <w:numPr>
        <w:ilvl w:val="2"/>
        <w:numId w:val="1"/>
      </w:numPr>
      <w:adjustRightInd/>
      <w:snapToGrid/>
      <w:spacing w:before="260" w:after="260" w:line="413" w:lineRule="auto"/>
      <w:jc w:val="both"/>
      <w:outlineLvl w:val="2"/>
    </w:pPr>
    <w:rPr>
      <w:rFonts w:asciiTheme="minorHAnsi" w:eastAsiaTheme="minorEastAsia" w:hAnsiTheme="minorHAnsi"/>
      <w:b/>
      <w:kern w:val="2"/>
      <w:sz w:val="32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B44F07"/>
    <w:pPr>
      <w:keepNext/>
      <w:keepLines/>
      <w:widowControl w:val="0"/>
      <w:numPr>
        <w:ilvl w:val="3"/>
        <w:numId w:val="1"/>
      </w:numPr>
      <w:adjustRightInd/>
      <w:snapToGrid/>
      <w:spacing w:before="280" w:after="290" w:line="372" w:lineRule="auto"/>
      <w:ind w:left="0"/>
      <w:jc w:val="both"/>
      <w:outlineLvl w:val="3"/>
    </w:pPr>
    <w:rPr>
      <w:rFonts w:ascii="Arial" w:eastAsia="黑体" w:hAnsi="Arial"/>
      <w:b/>
      <w:kern w:val="2"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4F07"/>
    <w:pPr>
      <w:keepNext/>
      <w:keepLines/>
      <w:widowControl w:val="0"/>
      <w:numPr>
        <w:ilvl w:val="4"/>
        <w:numId w:val="1"/>
      </w:numPr>
      <w:adjustRightInd/>
      <w:snapToGrid/>
      <w:spacing w:before="280" w:after="290" w:line="372" w:lineRule="auto"/>
      <w:jc w:val="both"/>
      <w:outlineLvl w:val="4"/>
    </w:pPr>
    <w:rPr>
      <w:rFonts w:asciiTheme="minorHAnsi" w:eastAsiaTheme="minorEastAsia" w:hAnsiTheme="minorHAnsi"/>
      <w:b/>
      <w:kern w:val="2"/>
      <w:sz w:val="28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4F07"/>
    <w:pPr>
      <w:keepNext/>
      <w:keepLines/>
      <w:widowControl w:val="0"/>
      <w:numPr>
        <w:ilvl w:val="5"/>
        <w:numId w:val="1"/>
      </w:numPr>
      <w:adjustRightInd/>
      <w:snapToGrid/>
      <w:spacing w:before="240" w:after="64" w:line="317" w:lineRule="auto"/>
      <w:jc w:val="both"/>
      <w:outlineLvl w:val="5"/>
    </w:pPr>
    <w:rPr>
      <w:rFonts w:ascii="Arial" w:eastAsia="黑体" w:hAnsi="Arial"/>
      <w:b/>
      <w:kern w:val="2"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4F07"/>
    <w:pPr>
      <w:keepNext/>
      <w:keepLines/>
      <w:widowControl w:val="0"/>
      <w:numPr>
        <w:ilvl w:val="6"/>
        <w:numId w:val="1"/>
      </w:numPr>
      <w:adjustRightInd/>
      <w:snapToGrid/>
      <w:spacing w:before="240" w:after="64" w:line="317" w:lineRule="auto"/>
      <w:jc w:val="both"/>
      <w:outlineLvl w:val="6"/>
    </w:pPr>
    <w:rPr>
      <w:rFonts w:asciiTheme="minorHAnsi" w:eastAsiaTheme="minorEastAsia" w:hAnsiTheme="minorHAnsi"/>
      <w:b/>
      <w:kern w:val="2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4F07"/>
    <w:pPr>
      <w:keepNext/>
      <w:keepLines/>
      <w:widowControl w:val="0"/>
      <w:numPr>
        <w:ilvl w:val="7"/>
        <w:numId w:val="1"/>
      </w:numPr>
      <w:adjustRightInd/>
      <w:snapToGrid/>
      <w:spacing w:before="240" w:after="64" w:line="317" w:lineRule="auto"/>
      <w:jc w:val="both"/>
      <w:outlineLvl w:val="7"/>
    </w:pPr>
    <w:rPr>
      <w:rFonts w:ascii="Arial" w:eastAsia="黑体" w:hAnsi="Arial"/>
      <w:kern w:val="2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4F07"/>
    <w:pPr>
      <w:keepNext/>
      <w:keepLines/>
      <w:widowControl w:val="0"/>
      <w:numPr>
        <w:ilvl w:val="8"/>
        <w:numId w:val="1"/>
      </w:numPr>
      <w:adjustRightInd/>
      <w:snapToGrid/>
      <w:spacing w:before="240" w:after="64" w:line="317" w:lineRule="auto"/>
      <w:jc w:val="both"/>
      <w:outlineLvl w:val="8"/>
    </w:pPr>
    <w:rPr>
      <w:rFonts w:ascii="Arial" w:eastAsia="黑体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F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F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B44F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F0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4F07"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44F07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uiPriority w:val="9"/>
    <w:rsid w:val="00B44F07"/>
    <w:rPr>
      <w:rFonts w:eastAsiaTheme="minorEastAsia"/>
      <w:b/>
      <w:kern w:val="2"/>
      <w:sz w:val="32"/>
      <w:szCs w:val="24"/>
    </w:rPr>
  </w:style>
  <w:style w:type="character" w:customStyle="1" w:styleId="4Char">
    <w:name w:val="标题 4 Char"/>
    <w:basedOn w:val="a0"/>
    <w:link w:val="4"/>
    <w:uiPriority w:val="9"/>
    <w:rsid w:val="00B44F07"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44F07"/>
    <w:rPr>
      <w:rFonts w:eastAsiaTheme="minorEastAsia"/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B44F07"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44F07"/>
    <w:rPr>
      <w:rFonts w:eastAsiaTheme="minorEastAsia"/>
      <w:b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44F07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44F07"/>
    <w:rPr>
      <w:rFonts w:ascii="Arial" w:eastAsia="黑体" w:hAnsi="Arial"/>
      <w:kern w:val="2"/>
      <w:sz w:val="21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B44F0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44F07"/>
    <w:rPr>
      <w:rFonts w:ascii="Tahoma" w:hAnsi="Tahoma"/>
    </w:rPr>
  </w:style>
  <w:style w:type="paragraph" w:styleId="20">
    <w:name w:val="Body Text First Indent 2"/>
    <w:basedOn w:val="a5"/>
    <w:link w:val="2Char0"/>
    <w:uiPriority w:val="99"/>
    <w:unhideWhenUsed/>
    <w:qFormat/>
    <w:rsid w:val="00B44F07"/>
    <w:pPr>
      <w:widowControl w:val="0"/>
      <w:adjustRightInd/>
      <w:snapToGrid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customStyle="1" w:styleId="2Char0">
    <w:name w:val="正文首行缩进 2 Char"/>
    <w:basedOn w:val="Char1"/>
    <w:link w:val="20"/>
    <w:uiPriority w:val="99"/>
    <w:qFormat/>
    <w:rsid w:val="00B44F07"/>
    <w:rPr>
      <w:rFonts w:eastAsiaTheme="minorEastAsia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2024-10-21T01:42:00Z</dcterms:modified>
</cp:coreProperties>
</file>